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B39" w:rsidRDefault="00E61B39">
      <w:pPr>
        <w:pStyle w:val="ConsPlusNormal"/>
        <w:jc w:val="right"/>
        <w:outlineLvl w:val="0"/>
      </w:pPr>
      <w:r>
        <w:t>Приложение N 30</w:t>
      </w:r>
    </w:p>
    <w:p w:rsidR="00E61B39" w:rsidRDefault="00E61B39">
      <w:pPr>
        <w:pStyle w:val="ConsPlusNormal"/>
        <w:jc w:val="right"/>
      </w:pPr>
      <w:bookmarkStart w:id="0" w:name="_GoBack"/>
      <w:bookmarkEnd w:id="0"/>
      <w:r>
        <w:t>к решению Думы Белоярского района</w:t>
      </w:r>
    </w:p>
    <w:p w:rsidR="00E61B39" w:rsidRDefault="00E61B39">
      <w:pPr>
        <w:pStyle w:val="ConsPlusNormal"/>
        <w:jc w:val="right"/>
      </w:pPr>
      <w:r>
        <w:t>от 29 ноября 2018 года N 52</w:t>
      </w:r>
    </w:p>
    <w:p w:rsidR="00E61B39" w:rsidRDefault="00E61B39">
      <w:pPr>
        <w:pStyle w:val="ConsPlusNormal"/>
        <w:jc w:val="both"/>
      </w:pPr>
    </w:p>
    <w:p w:rsidR="00E61B39" w:rsidRDefault="00E61B39">
      <w:pPr>
        <w:pStyle w:val="ConsPlusTitle"/>
        <w:jc w:val="center"/>
      </w:pPr>
      <w:r>
        <w:t>ПРОГРАММА</w:t>
      </w:r>
    </w:p>
    <w:p w:rsidR="00E61B39" w:rsidRDefault="00E61B39">
      <w:pPr>
        <w:pStyle w:val="ConsPlusTitle"/>
        <w:jc w:val="center"/>
      </w:pPr>
      <w:r>
        <w:t>МУНИЦИПАЛЬНЫХ ВНУТРЕННИХ ЗАИМСТВОВАНИЙ БЕЛОЯРСКОГО РАЙОНА</w:t>
      </w:r>
    </w:p>
    <w:p w:rsidR="00E61B39" w:rsidRDefault="00E61B39">
      <w:pPr>
        <w:pStyle w:val="ConsPlusTitle"/>
        <w:jc w:val="center"/>
      </w:pPr>
      <w:r>
        <w:t>НА 2019 ГОД И НА ПЛАНОВЫЙ ПЕРИОД 2020 И 2021 ГОДОВ</w:t>
      </w:r>
    </w:p>
    <w:p w:rsidR="00E61B39" w:rsidRDefault="00E61B39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637"/>
      </w:tblGrid>
      <w:tr w:rsidR="00E61B39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61B39" w:rsidRDefault="00E61B3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61B39" w:rsidRDefault="00E61B3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19.12.2019 N 74)</w:t>
            </w:r>
          </w:p>
        </w:tc>
      </w:tr>
    </w:tbl>
    <w:p w:rsidR="00E61B39" w:rsidRDefault="00E61B39">
      <w:pPr>
        <w:pStyle w:val="ConsPlusNormal"/>
        <w:jc w:val="center"/>
      </w:pPr>
    </w:p>
    <w:p w:rsidR="00E61B39" w:rsidRDefault="00E61B39">
      <w:pPr>
        <w:pStyle w:val="ConsPlusNormal"/>
        <w:jc w:val="right"/>
        <w:outlineLvl w:val="1"/>
      </w:pPr>
      <w:r>
        <w:t>Таблица 1</w:t>
      </w:r>
    </w:p>
    <w:p w:rsidR="00E61B39" w:rsidRDefault="00E61B39">
      <w:pPr>
        <w:pStyle w:val="ConsPlusNormal"/>
        <w:jc w:val="right"/>
      </w:pPr>
      <w:r>
        <w:t>приложения 30</w:t>
      </w:r>
    </w:p>
    <w:p w:rsidR="00E61B39" w:rsidRDefault="00E61B39">
      <w:pPr>
        <w:pStyle w:val="ConsPlusNormal"/>
        <w:jc w:val="both"/>
      </w:pPr>
    </w:p>
    <w:p w:rsidR="00E61B39" w:rsidRDefault="00E61B39">
      <w:pPr>
        <w:pStyle w:val="ConsPlusTitle"/>
        <w:jc w:val="center"/>
      </w:pPr>
      <w:r>
        <w:t>Муниципальные внутренние заимствования Белоярского района</w:t>
      </w:r>
    </w:p>
    <w:p w:rsidR="00E61B39" w:rsidRDefault="00E61B39">
      <w:pPr>
        <w:pStyle w:val="ConsPlusTitle"/>
        <w:jc w:val="center"/>
      </w:pPr>
      <w:r>
        <w:t>на 2019 год</w:t>
      </w:r>
    </w:p>
    <w:p w:rsidR="00E61B39" w:rsidRDefault="00E61B39">
      <w:pPr>
        <w:pStyle w:val="ConsPlusNormal"/>
        <w:jc w:val="both"/>
      </w:pPr>
    </w:p>
    <w:p w:rsidR="00E61B39" w:rsidRDefault="00E61B39">
      <w:pPr>
        <w:pStyle w:val="ConsPlusNormal"/>
        <w:jc w:val="right"/>
      </w:pPr>
      <w:r>
        <w:t>(рублей)</w:t>
      </w:r>
    </w:p>
    <w:p w:rsidR="00E61B39" w:rsidRDefault="00E61B39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6406"/>
        <w:gridCol w:w="1871"/>
      </w:tblGrid>
      <w:tr w:rsidR="00E61B39">
        <w:tc>
          <w:tcPr>
            <w:tcW w:w="794" w:type="dxa"/>
          </w:tcPr>
          <w:p w:rsidR="00E61B39" w:rsidRDefault="00E61B3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406" w:type="dxa"/>
          </w:tcPr>
          <w:p w:rsidR="00E61B39" w:rsidRDefault="00E61B39">
            <w:pPr>
              <w:pStyle w:val="ConsPlusNormal"/>
              <w:jc w:val="center"/>
            </w:pPr>
            <w:r>
              <w:t>Муниципальные внутренние заимствования</w:t>
            </w:r>
          </w:p>
        </w:tc>
        <w:tc>
          <w:tcPr>
            <w:tcW w:w="1871" w:type="dxa"/>
          </w:tcPr>
          <w:p w:rsidR="00E61B39" w:rsidRDefault="00E61B39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E61B39">
        <w:tc>
          <w:tcPr>
            <w:tcW w:w="794" w:type="dxa"/>
          </w:tcPr>
          <w:p w:rsidR="00E61B39" w:rsidRDefault="00E61B39">
            <w:pPr>
              <w:pStyle w:val="ConsPlusNormal"/>
            </w:pPr>
            <w:r>
              <w:t>1</w:t>
            </w:r>
          </w:p>
        </w:tc>
        <w:tc>
          <w:tcPr>
            <w:tcW w:w="6406" w:type="dxa"/>
          </w:tcPr>
          <w:p w:rsidR="00E61B39" w:rsidRDefault="00E61B39">
            <w:pPr>
              <w:pStyle w:val="ConsPlusNormal"/>
            </w:pPr>
            <w:r>
              <w:t>Бюджетный кредит на финансирование мероприятий по осуществлению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 из средств бюджета автономного округа на государственную финансовую поддержку досрочного завоза</w:t>
            </w:r>
          </w:p>
        </w:tc>
        <w:tc>
          <w:tcPr>
            <w:tcW w:w="1871" w:type="dxa"/>
          </w:tcPr>
          <w:p w:rsidR="00E61B39" w:rsidRDefault="00E61B39">
            <w:pPr>
              <w:pStyle w:val="ConsPlusNormal"/>
            </w:pPr>
          </w:p>
        </w:tc>
      </w:tr>
      <w:tr w:rsidR="00E61B39">
        <w:tc>
          <w:tcPr>
            <w:tcW w:w="794" w:type="dxa"/>
          </w:tcPr>
          <w:p w:rsidR="00E61B39" w:rsidRDefault="00E61B39">
            <w:pPr>
              <w:pStyle w:val="ConsPlusNormal"/>
            </w:pPr>
            <w:r>
              <w:t>1.1</w:t>
            </w:r>
          </w:p>
        </w:tc>
        <w:tc>
          <w:tcPr>
            <w:tcW w:w="6406" w:type="dxa"/>
          </w:tcPr>
          <w:p w:rsidR="00E61B39" w:rsidRDefault="00E61B39">
            <w:pPr>
              <w:pStyle w:val="ConsPlusNormal"/>
            </w:pPr>
            <w:r>
              <w:t>привлечение</w:t>
            </w:r>
          </w:p>
        </w:tc>
        <w:tc>
          <w:tcPr>
            <w:tcW w:w="1871" w:type="dxa"/>
          </w:tcPr>
          <w:p w:rsidR="00E61B39" w:rsidRDefault="00E61B39">
            <w:pPr>
              <w:pStyle w:val="ConsPlusNormal"/>
            </w:pPr>
            <w:r>
              <w:t>504982554,50</w:t>
            </w:r>
          </w:p>
        </w:tc>
      </w:tr>
      <w:tr w:rsidR="00E61B39">
        <w:tc>
          <w:tcPr>
            <w:tcW w:w="794" w:type="dxa"/>
          </w:tcPr>
          <w:p w:rsidR="00E61B39" w:rsidRDefault="00E61B39">
            <w:pPr>
              <w:pStyle w:val="ConsPlusNormal"/>
            </w:pPr>
            <w:r>
              <w:t>1.2</w:t>
            </w:r>
          </w:p>
        </w:tc>
        <w:tc>
          <w:tcPr>
            <w:tcW w:w="6406" w:type="dxa"/>
          </w:tcPr>
          <w:p w:rsidR="00E61B39" w:rsidRDefault="00E61B39">
            <w:pPr>
              <w:pStyle w:val="ConsPlusNormal"/>
            </w:pPr>
            <w:r>
              <w:t>погашение</w:t>
            </w:r>
          </w:p>
        </w:tc>
        <w:tc>
          <w:tcPr>
            <w:tcW w:w="1871" w:type="dxa"/>
          </w:tcPr>
          <w:p w:rsidR="00E61B39" w:rsidRDefault="00E61B39">
            <w:pPr>
              <w:pStyle w:val="ConsPlusNormal"/>
            </w:pPr>
            <w:r>
              <w:t>216423000,00</w:t>
            </w:r>
          </w:p>
        </w:tc>
      </w:tr>
      <w:tr w:rsidR="00E61B39">
        <w:tc>
          <w:tcPr>
            <w:tcW w:w="794" w:type="dxa"/>
          </w:tcPr>
          <w:p w:rsidR="00E61B39" w:rsidRDefault="00E61B39">
            <w:pPr>
              <w:pStyle w:val="ConsPlusNormal"/>
            </w:pPr>
          </w:p>
        </w:tc>
        <w:tc>
          <w:tcPr>
            <w:tcW w:w="6406" w:type="dxa"/>
          </w:tcPr>
          <w:p w:rsidR="00E61B39" w:rsidRDefault="00E61B39">
            <w:pPr>
              <w:pStyle w:val="ConsPlusNormal"/>
            </w:pPr>
            <w:r>
              <w:t>Всего:</w:t>
            </w:r>
          </w:p>
        </w:tc>
        <w:tc>
          <w:tcPr>
            <w:tcW w:w="1871" w:type="dxa"/>
          </w:tcPr>
          <w:p w:rsidR="00E61B39" w:rsidRDefault="00E61B39">
            <w:pPr>
              <w:pStyle w:val="ConsPlusNormal"/>
            </w:pPr>
            <w:r>
              <w:t>288559554,50</w:t>
            </w:r>
          </w:p>
        </w:tc>
      </w:tr>
    </w:tbl>
    <w:p w:rsidR="00E61B39" w:rsidRDefault="00E61B39">
      <w:pPr>
        <w:pStyle w:val="ConsPlusNormal"/>
        <w:jc w:val="both"/>
      </w:pPr>
    </w:p>
    <w:p w:rsidR="00E61B39" w:rsidRDefault="00E61B39">
      <w:pPr>
        <w:pStyle w:val="ConsPlusNormal"/>
        <w:jc w:val="right"/>
        <w:outlineLvl w:val="1"/>
      </w:pPr>
      <w:r>
        <w:t>Таблица 2</w:t>
      </w:r>
    </w:p>
    <w:p w:rsidR="00E61B39" w:rsidRDefault="00E61B39">
      <w:pPr>
        <w:pStyle w:val="ConsPlusNormal"/>
        <w:jc w:val="right"/>
      </w:pPr>
      <w:r>
        <w:t>приложения 30</w:t>
      </w:r>
    </w:p>
    <w:p w:rsidR="00E61B39" w:rsidRDefault="00E61B39">
      <w:pPr>
        <w:pStyle w:val="ConsPlusNormal"/>
        <w:jc w:val="both"/>
      </w:pPr>
    </w:p>
    <w:p w:rsidR="00E61B39" w:rsidRDefault="00E61B39">
      <w:pPr>
        <w:pStyle w:val="ConsPlusTitle"/>
        <w:jc w:val="center"/>
      </w:pPr>
      <w:r>
        <w:t>Муниципальные внутренние заимствования Белоярского района</w:t>
      </w:r>
    </w:p>
    <w:p w:rsidR="00E61B39" w:rsidRDefault="00E61B39">
      <w:pPr>
        <w:pStyle w:val="ConsPlusTitle"/>
        <w:jc w:val="center"/>
      </w:pPr>
      <w:r>
        <w:t>на плановый период 2020 и 2021 годов</w:t>
      </w:r>
    </w:p>
    <w:p w:rsidR="00E61B39" w:rsidRDefault="00E61B39">
      <w:pPr>
        <w:pStyle w:val="ConsPlusNormal"/>
        <w:jc w:val="both"/>
      </w:pPr>
    </w:p>
    <w:p w:rsidR="00E61B39" w:rsidRDefault="00E61B39">
      <w:pPr>
        <w:pStyle w:val="ConsPlusNormal"/>
        <w:jc w:val="right"/>
      </w:pPr>
      <w:r>
        <w:t>(рублей)</w:t>
      </w:r>
    </w:p>
    <w:p w:rsidR="00E61B39" w:rsidRDefault="00E61B39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592"/>
        <w:gridCol w:w="1871"/>
        <w:gridCol w:w="1871"/>
      </w:tblGrid>
      <w:tr w:rsidR="00E61B39">
        <w:tc>
          <w:tcPr>
            <w:tcW w:w="737" w:type="dxa"/>
            <w:vMerge w:val="restart"/>
          </w:tcPr>
          <w:p w:rsidR="00E61B39" w:rsidRDefault="00E61B3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592" w:type="dxa"/>
            <w:vMerge w:val="restart"/>
          </w:tcPr>
          <w:p w:rsidR="00E61B39" w:rsidRDefault="00E61B39">
            <w:pPr>
              <w:pStyle w:val="ConsPlusNormal"/>
              <w:jc w:val="center"/>
            </w:pPr>
            <w:r>
              <w:t>Муниципальные внутренние заимствования</w:t>
            </w:r>
          </w:p>
        </w:tc>
        <w:tc>
          <w:tcPr>
            <w:tcW w:w="3742" w:type="dxa"/>
            <w:gridSpan w:val="2"/>
          </w:tcPr>
          <w:p w:rsidR="00E61B39" w:rsidRDefault="00E61B39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E61B39">
        <w:tc>
          <w:tcPr>
            <w:tcW w:w="737" w:type="dxa"/>
            <w:vMerge/>
          </w:tcPr>
          <w:p w:rsidR="00E61B39" w:rsidRDefault="00E61B39"/>
        </w:tc>
        <w:tc>
          <w:tcPr>
            <w:tcW w:w="4592" w:type="dxa"/>
            <w:vMerge/>
          </w:tcPr>
          <w:p w:rsidR="00E61B39" w:rsidRDefault="00E61B39"/>
        </w:tc>
        <w:tc>
          <w:tcPr>
            <w:tcW w:w="1871" w:type="dxa"/>
          </w:tcPr>
          <w:p w:rsidR="00E61B39" w:rsidRDefault="00E61B3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871" w:type="dxa"/>
          </w:tcPr>
          <w:p w:rsidR="00E61B39" w:rsidRDefault="00E61B39">
            <w:pPr>
              <w:pStyle w:val="ConsPlusNormal"/>
              <w:jc w:val="center"/>
            </w:pPr>
            <w:r>
              <w:t>2021 год</w:t>
            </w:r>
          </w:p>
        </w:tc>
      </w:tr>
      <w:tr w:rsidR="00E61B39">
        <w:tc>
          <w:tcPr>
            <w:tcW w:w="737" w:type="dxa"/>
          </w:tcPr>
          <w:p w:rsidR="00E61B39" w:rsidRDefault="00E61B39">
            <w:pPr>
              <w:pStyle w:val="ConsPlusNormal"/>
            </w:pPr>
            <w:r>
              <w:t>1</w:t>
            </w:r>
          </w:p>
        </w:tc>
        <w:tc>
          <w:tcPr>
            <w:tcW w:w="4592" w:type="dxa"/>
          </w:tcPr>
          <w:p w:rsidR="00E61B39" w:rsidRDefault="00E61B39">
            <w:pPr>
              <w:pStyle w:val="ConsPlusNormal"/>
            </w:pPr>
            <w:r>
              <w:t xml:space="preserve">Бюджетный кредит на финансирование мероприятий по осуществлению досрочного завоза продукции (товаров) в районы и населенные пункты на территории Ханты-Мансийского автономного округа - Югры с </w:t>
            </w:r>
            <w:r>
              <w:lastRenderedPageBreak/>
              <w:t>ограниченными сроками завоза грузов из средств бюджета автономного округа на государственную финансовую поддержку досрочного завоза</w:t>
            </w:r>
          </w:p>
        </w:tc>
        <w:tc>
          <w:tcPr>
            <w:tcW w:w="1871" w:type="dxa"/>
          </w:tcPr>
          <w:p w:rsidR="00E61B39" w:rsidRDefault="00E61B39">
            <w:pPr>
              <w:pStyle w:val="ConsPlusNormal"/>
            </w:pPr>
          </w:p>
        </w:tc>
        <w:tc>
          <w:tcPr>
            <w:tcW w:w="1871" w:type="dxa"/>
          </w:tcPr>
          <w:p w:rsidR="00E61B39" w:rsidRDefault="00E61B39">
            <w:pPr>
              <w:pStyle w:val="ConsPlusNormal"/>
            </w:pPr>
          </w:p>
        </w:tc>
      </w:tr>
      <w:tr w:rsidR="00E61B39">
        <w:tc>
          <w:tcPr>
            <w:tcW w:w="737" w:type="dxa"/>
          </w:tcPr>
          <w:p w:rsidR="00E61B39" w:rsidRDefault="00E61B39">
            <w:pPr>
              <w:pStyle w:val="ConsPlusNormal"/>
            </w:pPr>
            <w:r>
              <w:lastRenderedPageBreak/>
              <w:t>1.1</w:t>
            </w:r>
          </w:p>
        </w:tc>
        <w:tc>
          <w:tcPr>
            <w:tcW w:w="4592" w:type="dxa"/>
          </w:tcPr>
          <w:p w:rsidR="00E61B39" w:rsidRDefault="00E61B39">
            <w:pPr>
              <w:pStyle w:val="ConsPlusNormal"/>
            </w:pPr>
            <w:r>
              <w:t>привлечение</w:t>
            </w:r>
          </w:p>
        </w:tc>
        <w:tc>
          <w:tcPr>
            <w:tcW w:w="1871" w:type="dxa"/>
          </w:tcPr>
          <w:p w:rsidR="00E61B39" w:rsidRDefault="00E61B39">
            <w:pPr>
              <w:pStyle w:val="ConsPlusNormal"/>
            </w:pPr>
            <w:r>
              <w:t>480558100,00</w:t>
            </w:r>
          </w:p>
        </w:tc>
        <w:tc>
          <w:tcPr>
            <w:tcW w:w="1871" w:type="dxa"/>
          </w:tcPr>
          <w:p w:rsidR="00E61B39" w:rsidRDefault="00E61B39">
            <w:pPr>
              <w:pStyle w:val="ConsPlusNormal"/>
            </w:pPr>
            <w:r>
              <w:t>499780500,00</w:t>
            </w:r>
          </w:p>
        </w:tc>
      </w:tr>
      <w:tr w:rsidR="00E61B39">
        <w:tc>
          <w:tcPr>
            <w:tcW w:w="737" w:type="dxa"/>
          </w:tcPr>
          <w:p w:rsidR="00E61B39" w:rsidRDefault="00E61B39">
            <w:pPr>
              <w:pStyle w:val="ConsPlusNormal"/>
            </w:pPr>
            <w:r>
              <w:t>1.2</w:t>
            </w:r>
          </w:p>
        </w:tc>
        <w:tc>
          <w:tcPr>
            <w:tcW w:w="4592" w:type="dxa"/>
          </w:tcPr>
          <w:p w:rsidR="00E61B39" w:rsidRDefault="00E61B39">
            <w:pPr>
              <w:pStyle w:val="ConsPlusNormal"/>
            </w:pPr>
            <w:r>
              <w:t>погашение</w:t>
            </w:r>
          </w:p>
        </w:tc>
        <w:tc>
          <w:tcPr>
            <w:tcW w:w="1871" w:type="dxa"/>
          </w:tcPr>
          <w:p w:rsidR="00E61B39" w:rsidRDefault="00E61B39">
            <w:pPr>
              <w:pStyle w:val="ConsPlusNormal"/>
            </w:pPr>
            <w:r>
              <w:t>480558100,00</w:t>
            </w:r>
          </w:p>
        </w:tc>
        <w:tc>
          <w:tcPr>
            <w:tcW w:w="1871" w:type="dxa"/>
          </w:tcPr>
          <w:p w:rsidR="00E61B39" w:rsidRDefault="00E61B39">
            <w:pPr>
              <w:pStyle w:val="ConsPlusNormal"/>
            </w:pPr>
            <w:r>
              <w:t>499780500,00</w:t>
            </w:r>
          </w:p>
        </w:tc>
      </w:tr>
      <w:tr w:rsidR="00E61B39">
        <w:tc>
          <w:tcPr>
            <w:tcW w:w="737" w:type="dxa"/>
          </w:tcPr>
          <w:p w:rsidR="00E61B39" w:rsidRDefault="00E61B39">
            <w:pPr>
              <w:pStyle w:val="ConsPlusNormal"/>
            </w:pPr>
          </w:p>
        </w:tc>
        <w:tc>
          <w:tcPr>
            <w:tcW w:w="4592" w:type="dxa"/>
          </w:tcPr>
          <w:p w:rsidR="00E61B39" w:rsidRDefault="00E61B39">
            <w:pPr>
              <w:pStyle w:val="ConsPlusNormal"/>
            </w:pPr>
            <w:r>
              <w:t>Всего:</w:t>
            </w:r>
          </w:p>
        </w:tc>
        <w:tc>
          <w:tcPr>
            <w:tcW w:w="1871" w:type="dxa"/>
          </w:tcPr>
          <w:p w:rsidR="00E61B39" w:rsidRDefault="00E61B39">
            <w:pPr>
              <w:pStyle w:val="ConsPlusNormal"/>
            </w:pPr>
            <w:r>
              <w:t>0,00</w:t>
            </w:r>
          </w:p>
        </w:tc>
        <w:tc>
          <w:tcPr>
            <w:tcW w:w="1871" w:type="dxa"/>
          </w:tcPr>
          <w:p w:rsidR="00E61B39" w:rsidRDefault="00E61B39">
            <w:pPr>
              <w:pStyle w:val="ConsPlusNormal"/>
            </w:pPr>
            <w:r>
              <w:t>0,00</w:t>
            </w:r>
          </w:p>
        </w:tc>
      </w:tr>
    </w:tbl>
    <w:p w:rsidR="00E61B39" w:rsidRDefault="00E61B39">
      <w:pPr>
        <w:pStyle w:val="ConsPlusNormal"/>
        <w:jc w:val="both"/>
      </w:pPr>
    </w:p>
    <w:p w:rsidR="00E61B39" w:rsidRDefault="00E61B39">
      <w:pPr>
        <w:pStyle w:val="ConsPlusNormal"/>
        <w:jc w:val="both"/>
      </w:pPr>
    </w:p>
    <w:p w:rsidR="00E61B39" w:rsidRDefault="00E61B39">
      <w:pPr>
        <w:pStyle w:val="ConsPlusNormal"/>
        <w:jc w:val="both"/>
      </w:pPr>
    </w:p>
    <w:p w:rsidR="00E61B39" w:rsidRDefault="00E61B39">
      <w:pPr>
        <w:pStyle w:val="ConsPlusNormal"/>
        <w:jc w:val="both"/>
      </w:pPr>
    </w:p>
    <w:p w:rsidR="00E61B39" w:rsidRDefault="00E61B39">
      <w:pPr>
        <w:pStyle w:val="ConsPlusNormal"/>
        <w:jc w:val="both"/>
      </w:pPr>
    </w:p>
    <w:p w:rsidR="00DF1DFE" w:rsidRDefault="00DF1DFE"/>
    <w:sectPr w:rsidR="00DF1DFE" w:rsidSect="00E810B4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B39"/>
    <w:rsid w:val="0038337F"/>
    <w:rsid w:val="00AE048B"/>
    <w:rsid w:val="00DF1DFE"/>
    <w:rsid w:val="00E6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254788-5543-4A6F-A8A0-7405C3F76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1B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1B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D2B1953A00861777831BDF7DA8769D257A99EFB6E2AD8ED1D7F6DEB2F71240CCADF1C43AFCDFA327959960501DE66D29DBA80CA83377895A544B131l1S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2020-01-09T11:30:00Z</dcterms:created>
  <dcterms:modified xsi:type="dcterms:W3CDTF">2020-01-09T11:30:00Z</dcterms:modified>
</cp:coreProperties>
</file>